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/>
        <w:drawing>
          <wp:inline distT="0" distB="0" distL="0" distR="0">
            <wp:extent cx="4505960" cy="1066800"/>
            <wp:effectExtent l="0" t="0" r="0" b="0"/>
            <wp:docPr id="1" name="Obrázek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96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454" w:hanging="0"/>
        <w:jc w:val="right"/>
        <w:rPr>
          <w:rFonts w:cs="Arial"/>
          <w:b/>
          <w:b/>
          <w:color w:val="C45911" w:themeColor="accent2" w:themeShade="bf"/>
          <w:sz w:val="56"/>
          <w:szCs w:val="56"/>
        </w:rPr>
      </w:pPr>
      <w:r>
        <w:rPr>
          <w:rFonts w:cs="Arial"/>
          <w:b/>
          <w:color w:val="C45911" w:themeColor="accent2" w:themeShade="bf"/>
          <w:sz w:val="56"/>
          <w:szCs w:val="56"/>
        </w:rPr>
        <w:t xml:space="preserve">Zpráva o hodnocení </w:t>
      </w:r>
    </w:p>
    <w:p>
      <w:pPr>
        <w:pStyle w:val="Normal"/>
        <w:ind w:right="454" w:hanging="0"/>
        <w:jc w:val="right"/>
        <w:rPr>
          <w:rFonts w:cs="Arial"/>
          <w:b/>
          <w:b/>
          <w:color w:val="C45911" w:themeColor="accent2" w:themeShade="bf"/>
          <w:sz w:val="56"/>
          <w:szCs w:val="56"/>
        </w:rPr>
      </w:pPr>
      <w:r>
        <w:rPr>
          <w:rFonts w:cs="Arial"/>
          <w:b/>
          <w:color w:val="C45911" w:themeColor="accent2" w:themeShade="bf"/>
          <w:sz w:val="56"/>
          <w:szCs w:val="56"/>
        </w:rPr>
        <w:t>studijního programu – vyjádření člena RVH</w:t>
      </w:r>
    </w:p>
    <w:p>
      <w:pPr>
        <w:pStyle w:val="Normal"/>
        <w:ind w:right="454" w:hanging="0"/>
        <w:jc w:val="right"/>
        <w:rPr>
          <w:rFonts w:cs="Arial"/>
          <w:b/>
          <w:b/>
          <w:color w:val="7030A0"/>
          <w:sz w:val="40"/>
        </w:rPr>
      </w:pPr>
      <w:r>
        <w:rPr>
          <w:rFonts w:cs="Arial"/>
          <w:b/>
          <w:color w:val="7030A0"/>
          <w:sz w:val="40"/>
        </w:rPr>
      </w:r>
    </w:p>
    <w:p>
      <w:pPr>
        <w:pStyle w:val="Normal"/>
        <w:ind w:right="454" w:hanging="0"/>
        <w:jc w:val="right"/>
        <w:rPr>
          <w:rFonts w:cs="Arial"/>
          <w:b/>
          <w:b/>
          <w:color w:val="000000" w:themeColor="text1"/>
          <w:sz w:val="36"/>
          <w:szCs w:val="36"/>
        </w:rPr>
      </w:pPr>
      <w:r>
        <w:rPr>
          <w:rFonts w:cs="Arial"/>
          <w:b/>
          <w:color w:val="000000" w:themeColor="text1"/>
          <w:sz w:val="36"/>
          <w:szCs w:val="36"/>
        </w:rPr>
        <w:t xml:space="preserve">Bakalářský studijní program </w:t>
      </w:r>
    </w:p>
    <w:p>
      <w:pPr>
        <w:pStyle w:val="Normal"/>
        <w:ind w:right="454" w:hanging="0"/>
        <w:jc w:val="right"/>
        <w:rPr>
          <w:rFonts w:cs="Arial"/>
          <w:b/>
          <w:b/>
          <w:color w:val="7030A0"/>
          <w:sz w:val="40"/>
        </w:rPr>
      </w:pPr>
      <w:r>
        <w:rPr>
          <w:rFonts w:cs="Arial"/>
          <w:b/>
          <w:color w:val="7030A0"/>
          <w:sz w:val="40"/>
        </w:rPr>
      </w:r>
    </w:p>
    <w:p>
      <w:pPr>
        <w:pStyle w:val="Normal"/>
        <w:ind w:right="454" w:hanging="0"/>
        <w:jc w:val="right"/>
        <w:rPr>
          <w:rFonts w:cs="Arial"/>
          <w:color w:val="C45911" w:themeColor="accent2" w:themeShade="bf"/>
          <w:sz w:val="38"/>
          <w:szCs w:val="38"/>
        </w:rPr>
      </w:pPr>
      <w:r>
        <w:rPr>
          <w:rFonts w:cs="Arial"/>
          <w:color w:val="C45911" w:themeColor="accent2" w:themeShade="bf"/>
          <w:sz w:val="38"/>
          <w:szCs w:val="38"/>
        </w:rPr>
        <w:t xml:space="preserve">Univerzita Tomáše Bati ve Zlíně </w:t>
      </w:r>
    </w:p>
    <w:p>
      <w:pPr>
        <w:pStyle w:val="Normal"/>
        <w:ind w:right="454" w:hanging="0"/>
        <w:jc w:val="right"/>
        <w:rPr>
          <w:rFonts w:cs="Arial"/>
          <w:color w:val="7030A0"/>
          <w:sz w:val="38"/>
          <w:szCs w:val="38"/>
        </w:rPr>
      </w:pPr>
      <w:r>
        <w:rPr>
          <w:rFonts w:cs="Arial"/>
          <w:color w:val="7030A0"/>
          <w:sz w:val="38"/>
          <w:szCs w:val="38"/>
        </w:rPr>
      </w:r>
    </w:p>
    <w:p>
      <w:pPr>
        <w:pStyle w:val="Normal"/>
        <w:ind w:right="454" w:hanging="0"/>
        <w:jc w:val="right"/>
        <w:rPr>
          <w:rFonts w:cs="Arial"/>
          <w:b/>
          <w:b/>
          <w:color w:val="7030A0"/>
          <w:sz w:val="52"/>
        </w:rPr>
      </w:pPr>
      <w:r>
        <w:rPr>
          <w:rFonts w:cs="Arial"/>
          <w:b/>
          <w:color w:val="7030A0"/>
          <w:sz w:val="52"/>
        </w:rPr>
      </w:r>
    </w:p>
    <w:p>
      <w:pPr>
        <w:pStyle w:val="Normal"/>
        <w:ind w:right="454" w:hanging="0"/>
        <w:jc w:val="right"/>
        <w:rPr>
          <w:rFonts w:cs="Arial"/>
          <w:color w:val="C45911" w:themeColor="accent2" w:themeShade="bf"/>
          <w:sz w:val="44"/>
          <w:szCs w:val="44"/>
        </w:rPr>
      </w:pPr>
      <w:r>
        <w:rPr>
          <w:rFonts w:cs="Arial"/>
          <w:color w:val="C45911" w:themeColor="accent2" w:themeShade="bf"/>
          <w:sz w:val="44"/>
          <w:szCs w:val="44"/>
        </w:rPr>
        <w:t>09/2023</w:t>
      </w:r>
    </w:p>
    <w:p>
      <w:pPr>
        <w:pStyle w:val="NoSpacing"/>
        <w:ind w:right="113" w:hanging="0"/>
        <w:rPr>
          <w:rFonts w:ascii="Arial" w:hAnsi="Arial" w:cs="Arial"/>
          <w:color w:val="800080"/>
        </w:rPr>
      </w:pPr>
      <w:r>
        <w:rPr>
          <w:rFonts w:cs="Arial" w:ascii="Arial" w:hAnsi="Arial"/>
          <w:color w:val="800080"/>
        </w:rPr>
      </w:r>
    </w:p>
    <w:p>
      <w:pPr>
        <w:pStyle w:val="NoSpacing"/>
        <w:rPr>
          <w:rFonts w:ascii="Arial" w:hAnsi="Arial" w:cs="Arial"/>
          <w:b/>
          <w:b/>
          <w:color w:val="6D1F80"/>
        </w:rPr>
      </w:pPr>
      <w:r>
        <w:rPr>
          <w:rFonts w:cs="Arial" w:ascii="Arial" w:hAnsi="Arial"/>
          <w:b/>
          <w:color w:val="6D1F80"/>
        </w:rPr>
      </w:r>
    </w:p>
    <w:p>
      <w:pPr>
        <w:pStyle w:val="NoSpacing"/>
        <w:rPr>
          <w:rFonts w:ascii="Arial" w:hAnsi="Arial" w:cs="Arial"/>
          <w:b/>
          <w:b/>
          <w:color w:val="6D1F80"/>
        </w:rPr>
      </w:pPr>
      <w:r>
        <w:rPr>
          <w:rFonts w:cs="Arial" w:ascii="Arial" w:hAnsi="Arial"/>
          <w:b/>
          <w:color w:val="6D1F80"/>
        </w:rPr>
      </w:r>
    </w:p>
    <w:p>
      <w:pPr>
        <w:pStyle w:val="NoSpacing"/>
        <w:rPr>
          <w:rFonts w:ascii="Arial" w:hAnsi="Arial" w:cs="Arial"/>
          <w:b/>
          <w:b/>
          <w:color w:val="6D1F80"/>
        </w:rPr>
      </w:pPr>
      <w:r>
        <w:rPr>
          <w:rFonts w:cs="Arial" w:ascii="Arial" w:hAnsi="Arial"/>
          <w:b/>
          <w:color w:val="6D1F80"/>
        </w:rPr>
      </w:r>
    </w:p>
    <w:p>
      <w:pPr>
        <w:pStyle w:val="Normal"/>
        <w:ind w:right="454" w:hanging="0"/>
        <w:rPr>
          <w:rFonts w:cs="Arial"/>
          <w:color w:val="7030A0"/>
          <w:sz w:val="38"/>
          <w:szCs w:val="38"/>
        </w:rPr>
      </w:pPr>
      <w:r>
        <w:rPr>
          <w:rFonts w:cs="Arial"/>
          <w:color w:val="7030A0"/>
          <w:sz w:val="38"/>
          <w:szCs w:val="38"/>
        </w:rPr>
      </w:r>
    </w:p>
    <w:p>
      <w:pPr>
        <w:pStyle w:val="Normal"/>
        <w:ind w:right="454" w:hanging="0"/>
        <w:rPr>
          <w:rFonts w:cs="Arial"/>
          <w:color w:val="7030A0"/>
          <w:sz w:val="32"/>
          <w:szCs w:val="32"/>
        </w:rPr>
      </w:pPr>
      <w:r>
        <w:rPr>
          <w:rFonts w:cs="Arial"/>
          <w:color w:val="7030A0"/>
          <w:sz w:val="32"/>
          <w:szCs w:val="32"/>
        </w:rPr>
      </w:r>
    </w:p>
    <w:p>
      <w:pPr>
        <w:pStyle w:val="Normal"/>
        <w:ind w:right="454" w:hanging="0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>
        <w:rPr>
          <w:rFonts w:cs="Arial" w:ascii="Arial Narrow" w:hAnsi="Arial Narrow"/>
          <w:color w:val="C45911" w:themeColor="accent2" w:themeShade="bf"/>
          <w:sz w:val="32"/>
          <w:szCs w:val="32"/>
        </w:rPr>
        <w:t>Fakulta: Fakulta multimediálních komunikací</w:t>
      </w:r>
    </w:p>
    <w:p>
      <w:pPr>
        <w:pStyle w:val="Normal"/>
        <w:ind w:right="454" w:hanging="0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>
        <w:rPr>
          <w:rFonts w:cs="Arial" w:ascii="Arial Narrow" w:hAnsi="Arial Narrow"/>
          <w:color w:val="C45911" w:themeColor="accent2" w:themeShade="bf"/>
          <w:sz w:val="32"/>
          <w:szCs w:val="32"/>
        </w:rPr>
        <w:t>Studijní program: Marketingová komunikace</w:t>
      </w:r>
    </w:p>
    <w:p>
      <w:pPr>
        <w:sectPr>
          <w:footerReference w:type="default" r:id="rId3"/>
          <w:type w:val="nextPage"/>
          <w:pgSz w:w="11906" w:h="16838"/>
          <w:pgMar w:left="1417" w:right="1417" w:header="0" w:top="1417" w:footer="708" w:bottom="1417" w:gutter="0"/>
          <w:pgNumType w:fmt="decimal"/>
          <w:formProt w:val="false"/>
          <w:textDirection w:val="lrTb"/>
          <w:docGrid w:type="default" w:linePitch="360" w:charSpace="0"/>
        </w:sectPr>
        <w:pStyle w:val="Normal"/>
        <w:ind w:right="454" w:hanging="0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>
        <w:rPr>
          <w:rFonts w:cs="Arial" w:ascii="Arial Narrow" w:hAnsi="Arial Narrow"/>
          <w:color w:val="C45911" w:themeColor="accent2" w:themeShade="bf"/>
          <w:sz w:val="32"/>
          <w:szCs w:val="32"/>
        </w:rPr>
        <w:t>Garant studijního programu: doc. P</w:t>
      </w:r>
      <w:bookmarkStart w:id="0" w:name="_GoBack"/>
      <w:bookmarkEnd w:id="0"/>
      <w:r>
        <w:rPr>
          <w:rFonts w:cs="Arial" w:ascii="Arial Narrow" w:hAnsi="Arial Narrow"/>
          <w:color w:val="C45911" w:themeColor="accent2" w:themeShade="bf"/>
          <w:sz w:val="32"/>
          <w:szCs w:val="32"/>
        </w:rPr>
        <w:t>hDr. Blandína Šramová, Ph.D.</w:t>
      </w:r>
    </w:p>
    <w:p>
      <w:pPr>
        <w:pStyle w:val="NoSpacing"/>
        <w:ind w:right="283" w:hanging="0"/>
        <w:rPr>
          <w:rFonts w:ascii="Arial" w:hAnsi="Arial" w:cs="Arial"/>
          <w:b/>
          <w:b/>
          <w:szCs w:val="22"/>
        </w:rPr>
      </w:pPr>
      <w:r>
        <w:rPr>
          <w:rFonts w:cs="Arial" w:ascii="Arial" w:hAnsi="Arial"/>
          <w:b/>
          <w:szCs w:val="22"/>
        </w:rPr>
        <w:t>Zpracovatel posudku: doc. Mgr. Roman Trušník, Ph.D.</w:t>
      </w:r>
    </w:p>
    <w:p>
      <w:pPr>
        <w:pStyle w:val="NoSpacing"/>
        <w:ind w:right="283" w:hanging="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tbl>
      <w:tblPr>
        <w:tblStyle w:val="Mkatabulky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22"/>
        <w:gridCol w:w="2039"/>
      </w:tblGrid>
      <w:tr>
        <w:trPr>
          <w:trHeight w:val="357" w:hRule="atLeast"/>
        </w:trPr>
        <w:tc>
          <w:tcPr>
            <w:tcW w:w="7022" w:type="dxa"/>
            <w:tcBorders/>
            <w:shd w:color="auto" w:fill="F7CAAC" w:themeFill="accent2" w:themeFillTint="66" w:val="clear"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Oblast hodnocení studijního programu (dále jen „SP“)</w:t>
            </w:r>
            <w:r>
              <w:rPr>
                <w:rStyle w:val="Ukotvenpoznmkypodarou"/>
                <w:rFonts w:cs="Arial" w:ascii="Arial" w:hAnsi="Arial"/>
                <w:b/>
                <w:sz w:val="20"/>
              </w:rPr>
              <w:footnoteReference w:id="2"/>
            </w:r>
          </w:p>
        </w:tc>
        <w:tc>
          <w:tcPr>
            <w:tcW w:w="2039" w:type="dxa"/>
            <w:tcBorders/>
            <w:shd w:color="auto" w:fill="F7CAAC" w:themeFill="accent2" w:themeFillTint="66" w:val="clear"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Hodnotící stanovisko</w:t>
            </w:r>
            <w:r>
              <w:rPr>
                <w:rStyle w:val="Ukotvenpoznmkypodarou"/>
                <w:rFonts w:cs="Arial" w:ascii="Arial" w:hAnsi="Arial"/>
                <w:b/>
                <w:sz w:val="20"/>
              </w:rPr>
              <w:footnoteReference w:id="3"/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Hodnocení standardů v části 2.) Sebehodnotící zprávy- „Šetření zpětné vazby“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zajištěny výsledky šetření zpětné vazby na svou činnost a promítá jejich zjištění do realizace a rozvoje SP.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Hodnocení standardů v části 3.) Sebehodnotící zprávy – „Tvůrčí činnosti související se vzdělávací činností“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vykazuje dostatečnou tvůrčí činnost a promítá jí do vzdělávací činnosti v rámci SP.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4.)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„Mezinárodní rozměr SP“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dostatečný mezinárodní rozměr z hlediska profilu absolventa a zaměření SP.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 částečně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5.)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„Výsledky hodnocení bakalářských/diplomových/dizertačních prací“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zajištěny opatření pro kvalitu vedení bakalářských / diplomových / dizertačních prací.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6.)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„Úspěšnost v přijímacím řízení“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dostatečný počet uchazečů pro svou realizaci a zavedena opatření na podporu zájmu o studium SP.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7.)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„Neúspěšnost ve studiu a řádné ukončování studia“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vykazuje nízkou neúspěšnost ve studiu a má zavedena opatření pro podporu snižování neúspěšnosti studia.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8.)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„Nezaměstnanost absolventů“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vykazuje nízkou nezaměstnanost absolventů a má zavedena opatření po podporu snižování nezaměstnanosti absolventů.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9.)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„Pedagogické, vědecké a technické zajištění SP“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je dostatečně zajištěn po stránce personální, vědecké a technické.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10.)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„SWOT analýza SP“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jasně zhodnoceny silné a slabé stránky, stejně jako příležitosti a hrozby další realizace. Na jejich základě má pak SP formulována adekvátní opatření dalšího rozvoje.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Style w:val="Mkatabulky"/>
        <w:tblW w:w="906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067"/>
      </w:tblGrid>
      <w:tr>
        <w:trPr>
          <w:trHeight w:val="603" w:hRule="atLeast"/>
        </w:trPr>
        <w:tc>
          <w:tcPr>
            <w:tcW w:w="9067" w:type="dxa"/>
            <w:tcBorders/>
            <w:shd w:color="auto" w:fill="F7CAAC" w:themeFill="accent2" w:themeFillTint="66" w:val="clear"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Celkové hodnocení SP</w:t>
            </w:r>
          </w:p>
        </w:tc>
      </w:tr>
      <w:tr>
        <w:trPr>
          <w:trHeight w:val="357" w:hRule="atLeast"/>
        </w:trPr>
        <w:tc>
          <w:tcPr>
            <w:tcW w:w="9067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Zdůvodnění hodnotících stanovisek k jednotlivým oblastem SP uvedeným výše: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Fakulta reflektuje hodnocení programu ze strany studentů, absolventů i zaměstnavatelů, byť stejně jako v řadě dalších studijních programů </w:t>
            </w:r>
            <w:r>
              <w:rPr>
                <w:rFonts w:cs="Arial" w:ascii="Arial" w:hAnsi="Arial"/>
                <w:sz w:val="20"/>
                <w:szCs w:val="20"/>
              </w:rPr>
              <w:t>byla návratnost dotazníků v šetření v roce 2021 ze strany absolventů a zaměstnavatelů minimální (to je však mimo vliv fakulty).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Tvůrčí činnost odpovídá realizovanému programu, včetně projektové činnosti (TA ČR Gamma). Předložená bibliografie publikačních výstupů je výběrová.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Tvůrčí činnost studentů odpovídá očekávání u profesně zaměřeného bakalářského studijního programu; vzhledem k charakteru oboru se zde tvůrčí činnost pohybuje mimo tradiční publikační činnost či činnost výzkumnou, resp. participaci na výzkumných projektech.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Přestože aktivity směřující k rozvoji mezinárodního rozměru SP nejsou zdaleka zanedbatelné, sama fakulta ve SWOT analýze přiznává, že "Studijní program má vysoký kredit zejména na tuzemské (ČR + SR) úrovni, mezinárodní kredit je omezený". 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Systém hodnocení bakalářských prací vede ke zohledňování zjištění ve vzdělávací činnosti a upřesňování požadavků na studeny.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Studijní neúspěšnost je nízká, fakulta za tímto vidí náročné přijímací řízení a individuální přístup ke studentům. Nezaměstnanost absolventů se pohybuje v jednotkách, byť v procentním vyjádření toto číslo působí méně impozantně.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Pedagogické zajištění je stabilní a pro profesně zaměřený studijní program adekvátní, tomuto typu SP odpovídá i množství odborníků z praxe. 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Doporučení pro rozvoj SP:</w:t>
            </w:r>
          </w:p>
          <w:p>
            <w:pPr>
              <w:pStyle w:val="NoSpacing"/>
              <w:spacing w:before="40" w:after="40"/>
              <w:ind w:right="284" w:hanging="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Směry rozvoje SP nastiňuje v kontrolní zprávě sama fakulta, která se chce zaměřit na kvalitu výuky, její monitoring, reflexi výsledků v nastavení studijního programu; podílení se na výzkumu a vývoji trendů v oblasti marketingové komunikace; mezioborovou spolupráci, provázanost a návaznost oborů a uplatnitelnost absolventů; rozvoj personálního zabezpečení; a budování pozitivní image oboru a positioningu značky s konkurenční výhodou v propojení s ostatními studijními programy FMK. Tento plán rozvoje lze akceptovat, </w:t>
            </w: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cs-CZ" w:eastAsia="en-US" w:bidi="ar-SA"/>
              </w:rPr>
              <w:t xml:space="preserve">doporučuji doplnit systematické posilování </w:t>
            </w:r>
            <w:r>
              <w:rPr>
                <w:rFonts w:cs="Arial" w:ascii="Arial" w:hAnsi="Arial"/>
                <w:sz w:val="20"/>
                <w:szCs w:val="20"/>
              </w:rPr>
              <w:t xml:space="preserve">mezinárodního rozměru, při němž se fakulta zaměří </w:t>
            </w: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cs-CZ" w:eastAsia="en-US" w:bidi="ar-SA"/>
              </w:rPr>
              <w:t xml:space="preserve">i za hranice </w:t>
            </w:r>
            <w:r>
              <w:rPr>
                <w:rFonts w:cs="Arial" w:ascii="Arial" w:hAnsi="Arial"/>
                <w:sz w:val="20"/>
                <w:szCs w:val="20"/>
              </w:rPr>
              <w:t>středoevropského regionu.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11. 9. 2023</w:t>
      </w:r>
    </w:p>
    <w:p>
      <w:pPr>
        <w:pStyle w:val="NoSpacing"/>
        <w:ind w:right="283" w:hanging="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………………………</w:t>
      </w:r>
      <w:r>
        <w:rPr>
          <w:rFonts w:cs="Arial" w:ascii="Arial" w:hAnsi="Arial"/>
          <w:sz w:val="20"/>
        </w:rPr>
        <w:t>..</w:t>
        <w:tab/>
        <w:tab/>
        <w:tab/>
        <w:tab/>
        <w:tab/>
        <w:t>………………………………………...</w:t>
      </w:r>
    </w:p>
    <w:p>
      <w:pPr>
        <w:pStyle w:val="NoSpacing"/>
        <w:ind w:right="283" w:hanging="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Datum</w:t>
        <w:tab/>
        <w:tab/>
        <w:tab/>
        <w:tab/>
        <w:tab/>
        <w:tab/>
        <w:t xml:space="preserve">           Podpis oponenta studijního programu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4"/>
      <w:footerReference w:type="first" r:id="rId5"/>
      <w:footnotePr>
        <w:numFmt w:val="decimal"/>
      </w:footnotePr>
      <w:type w:val="nextPage"/>
      <w:pgSz w:w="11906" w:h="16838"/>
      <w:pgMar w:left="1417" w:right="1417" w:header="0" w:top="1417" w:footer="708" w:bottom="141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Narrow">
    <w:charset w:val="01"/>
    <w:family w:val="roman"/>
    <w:pitch w:val="variable"/>
  </w:font>
  <w:font w:name="Trebuchet M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jc w:val="both"/>
      <w:rPr/>
    </w:pPr>
    <w:r>
      <w:rPr>
        <w:sz w:val="18"/>
        <w:szCs w:val="18"/>
      </w:rPr>
      <w:t>Formulář je platný pro bakalářské, magisterské a navazující magisterské, doktorské studijní programy uskutečňované na základě akreditace udělené NAÚ či RVH UTB v rámci Institucionální akreditace UTB ve Zlíně.</w:t>
    </w:r>
  </w:p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38732781"/>
    </w:sdtPr>
    <w:sdtContent>
      <w:p>
        <w:pPr>
          <w:pStyle w:val="Zpat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  <w:p>
        <w:pPr>
          <w:pStyle w:val="Zpat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jc w:val="both"/>
      <w:rPr/>
    </w:pPr>
    <w:r>
      <w:rPr>
        <w:sz w:val="18"/>
        <w:szCs w:val="18"/>
      </w:rPr>
      <w:t>Formulář je platný pro bakalářské, magisterské a navazující magisterské, doktorské studijní programy uskutečňované na základě akreditace udělené NAÚ či RVH UTB v rámci Institucionální akreditace UTB ve Zlíně.</w:t>
    </w:r>
  </w:p>
  <w:p>
    <w:pPr>
      <w:pStyle w:val="Zpat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oznmkapodarou"/>
        <w:rPr>
          <w:sz w:val="18"/>
          <w:szCs w:val="18"/>
        </w:rPr>
      </w:pPr>
      <w:r>
        <w:rPr>
          <w:rStyle w:val="Znakypropoznmkupodarou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Jednotlivé oblasti hodnocení SP korespondují se strukturou Sebehodnotící zprávy garanta SP.</w:t>
      </w:r>
    </w:p>
  </w:footnote>
  <w:footnote w:id="3">
    <w:p>
      <w:pPr>
        <w:pStyle w:val="Poznmkapodarou"/>
        <w:jc w:val="both"/>
        <w:rPr>
          <w:sz w:val="18"/>
          <w:szCs w:val="18"/>
        </w:rPr>
      </w:pPr>
      <w:r>
        <w:rPr>
          <w:rStyle w:val="Znakypropoznmkupodarou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V Případě hodnocení je třeba uvést jednu z možnosti naplnění standardu: splňuje uvedený standard; splňuje částečně či nesplňuje standard. Zdůvodnění splnění/nesplnění standardů je možné uvést v rámci celkového hodnocení SP.</w:t>
      </w:r>
    </w:p>
  </w:footnote>
</w:footnotes>
</file>

<file path=word/settings.xml><?xml version="1.0" encoding="utf-8"?>
<w:settings xmlns:w="http://schemas.openxmlformats.org/wordprocessingml/2006/main">
  <w:zoom w:percent="25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6284c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" w:cstheme="minorBidi" w:eastAsiaTheme="minorHAnsi"/>
      <w:color w:val="auto"/>
      <w:kern w:val="0"/>
      <w:sz w:val="20"/>
      <w:szCs w:val="20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link w:val="Zhlav"/>
    <w:uiPriority w:val="99"/>
    <w:qFormat/>
    <w:rsid w:val="00a24846"/>
    <w:rPr>
      <w:rFonts w:ascii="Arial" w:hAnsi="Arial"/>
      <w:sz w:val="20"/>
      <w:szCs w:val="20"/>
    </w:rPr>
  </w:style>
  <w:style w:type="character" w:styleId="ZpatChar" w:customStyle="1">
    <w:name w:val="Zápatí Char"/>
    <w:basedOn w:val="DefaultParagraphFont"/>
    <w:link w:val="Zpat"/>
    <w:uiPriority w:val="99"/>
    <w:qFormat/>
    <w:rsid w:val="00a24846"/>
    <w:rPr>
      <w:rFonts w:ascii="Arial" w:hAnsi="Arial"/>
      <w:sz w:val="20"/>
      <w:szCs w:val="20"/>
    </w:rPr>
  </w:style>
  <w:style w:type="character" w:styleId="TextpoznpodarouChar" w:customStyle="1">
    <w:name w:val="Text pozn. pod čarou Char"/>
    <w:basedOn w:val="DefaultParagraphFont"/>
    <w:link w:val="Textpoznpodarou"/>
    <w:uiPriority w:val="99"/>
    <w:semiHidden/>
    <w:qFormat/>
    <w:rsid w:val="001e045c"/>
    <w:rPr>
      <w:rFonts w:ascii="Arial" w:hAnsi="Arial"/>
      <w:sz w:val="20"/>
      <w:szCs w:val="20"/>
    </w:rPr>
  </w:style>
  <w:style w:type="character" w:styleId="Ukotvenpoznmkypodarou">
    <w:name w:val="Ukotvení poznámky pod čarou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1e045c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d1011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qFormat/>
    <w:rsid w:val="00cd1011"/>
    <w:rPr>
      <w:rFonts w:ascii="Arial" w:hAnsi="Arial"/>
      <w:sz w:val="20"/>
      <w:szCs w:val="20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qFormat/>
    <w:rsid w:val="00cd1011"/>
    <w:rPr>
      <w:rFonts w:ascii="Arial" w:hAnsi="Arial"/>
      <w:b/>
      <w:bCs/>
      <w:sz w:val="20"/>
      <w:szCs w:val="20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cd1011"/>
    <w:rPr>
      <w:rFonts w:ascii="Segoe UI" w:hAnsi="Segoe UI" w:cs="Segoe UI"/>
      <w:sz w:val="18"/>
      <w:szCs w:val="18"/>
    </w:rPr>
  </w:style>
  <w:style w:type="character" w:styleId="Internetovodkaz">
    <w:name w:val="Internetový odkaz"/>
    <w:basedOn w:val="DefaultParagraphFont"/>
    <w:uiPriority w:val="99"/>
    <w:unhideWhenUsed/>
    <w:rsid w:val="00af4443"/>
    <w:rPr>
      <w:color w:val="0563C1" w:themeColor="hyperlink"/>
      <w:u w:val="single"/>
    </w:rPr>
  </w:style>
  <w:style w:type="character" w:styleId="Znakypropoznmkupodarou">
    <w:name w:val="Znaky pro poznámku pod čarou"/>
    <w:qFormat/>
    <w:rPr/>
  </w:style>
  <w:style w:type="character" w:styleId="Ukotvenvysvtlivky">
    <w:name w:val="Ukotvení vysvětlivky"/>
    <w:rPr>
      <w:vertAlign w:val="superscript"/>
    </w:rPr>
  </w:style>
  <w:style w:type="character" w:styleId="Znakyprovysvtlivky">
    <w:name w:val="Znaky pro vysvětlivky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Noto Sans CJK SC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</w:rPr>
  </w:style>
  <w:style w:type="paragraph" w:styleId="NoSpacing">
    <w:name w:val="No Spacing"/>
    <w:uiPriority w:val="1"/>
    <w:qFormat/>
    <w:rsid w:val="00a6284c"/>
    <w:pPr>
      <w:widowControl w:val="false"/>
      <w:suppressAutoHyphens w:val="true"/>
      <w:bidi w:val="0"/>
      <w:spacing w:lineRule="auto" w:line="240" w:before="0" w:after="0"/>
      <w:jc w:val="both"/>
    </w:pPr>
    <w:rPr>
      <w:rFonts w:ascii="Arial Narrow" w:hAnsi="Arial Narrow" w:eastAsia="Calibri" w:cs="" w:cstheme="minorBidi" w:eastAsiaTheme="minorHAnsi"/>
      <w:color w:val="auto"/>
      <w:kern w:val="0"/>
      <w:sz w:val="20"/>
      <w:szCs w:val="20"/>
      <w:lang w:val="cs-CZ" w:eastAsia="en-US" w:bidi="ar-SA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a2484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ZpatChar"/>
    <w:uiPriority w:val="99"/>
    <w:unhideWhenUsed/>
    <w:rsid w:val="00a2484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oznmkapodarou">
    <w:name w:val="Footnote Text"/>
    <w:basedOn w:val="Normal"/>
    <w:link w:val="TextpoznpodarouChar"/>
    <w:uiPriority w:val="99"/>
    <w:semiHidden/>
    <w:unhideWhenUsed/>
    <w:rsid w:val="001e045c"/>
    <w:pPr/>
    <w:rPr/>
  </w:style>
  <w:style w:type="paragraph" w:styleId="Annotationtext">
    <w:name w:val="annotation text"/>
    <w:basedOn w:val="Normal"/>
    <w:link w:val="TextkomenteChar"/>
    <w:uiPriority w:val="99"/>
    <w:unhideWhenUsed/>
    <w:qFormat/>
    <w:rsid w:val="00cd1011"/>
    <w:pPr/>
    <w:rPr/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cd1011"/>
    <w:pPr/>
    <w:rPr>
      <w:b/>
      <w:bCs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cd1011"/>
    <w:pPr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5d3fb3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" w:cstheme="minorBidi" w:eastAsiaTheme="minorHAnsi"/>
      <w:color w:val="auto"/>
      <w:kern w:val="0"/>
      <w:sz w:val="20"/>
      <w:szCs w:val="20"/>
      <w:lang w:val="cs-CZ" w:eastAsia="en-US" w:bidi="ar-SA"/>
    </w:rPr>
  </w:style>
  <w:style w:type="paragraph" w:styleId="ListParagraph">
    <w:name w:val="List Paragraph"/>
    <w:basedOn w:val="Normal"/>
    <w:uiPriority w:val="34"/>
    <w:qFormat/>
    <w:rsid w:val="00087acc"/>
    <w:pPr>
      <w:spacing w:lineRule="auto" w:line="360" w:before="0" w:after="120"/>
      <w:ind w:left="720" w:hanging="0"/>
      <w:contextualSpacing/>
      <w:jc w:val="both"/>
    </w:pPr>
    <w:rPr>
      <w:rFonts w:ascii="Trebuchet MS" w:hAnsi="Trebuchet MS" w:eastAsia="Times New Roman" w:cs="Times New Roman"/>
      <w:sz w:val="24"/>
      <w:szCs w:val="24"/>
      <w:lang w:eastAsia="cs-CZ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1504f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notes" Target="footnotes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ED48F-FBD6-4BF1-9D6D-CF4E4F425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LibreOffice/6.4.7.2$Linux_X86_64 LibreOffice_project/40$Build-2</Application>
  <Pages>4</Pages>
  <Words>814</Words>
  <Characters>5300</Characters>
  <CharactersWithSpaces>6089</CharactersWithSpaces>
  <Paragraphs>62</Paragraphs>
  <Company>CPP UJEP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2019-06-13T07:41:00Z</dcterms:created>
  <dc:creator>zukersteinj</dc:creator>
  <dc:description/>
  <dc:language>cs-CZ</dc:language>
  <cp:lastModifiedBy/>
  <cp:lastPrinted>2019-02-12T13:50:00Z</cp:lastPrinted>
  <dcterms:modified xsi:type="dcterms:W3CDTF">2023-09-12T10:20:07Z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CPP UJEP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